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25" w:rsidRPr="00536C25" w:rsidRDefault="00536C25" w:rsidP="00536C25">
      <w:r>
        <w:t xml:space="preserve">The Core Reading List provides a short list of titles that match the expectations of the 11-CCR grade level span in the Common Core State Standards.  The core list is not an exhaustive list of titles necessary to facilitate the learning of the Reading Standards for grade 11-CCR students.  PLTs and English department s at each school will determine additional texts to be read by all students or within a literature circle model.  </w:t>
      </w:r>
      <w:r w:rsidRPr="00551E0D">
        <w:rPr>
          <w:rFonts w:ascii="Lucida Grande" w:hAnsi="Lucida Grande"/>
          <w:b/>
          <w:sz w:val="23"/>
          <w:szCs w:val="23"/>
        </w:rPr>
        <w:t>As PLTs and departments choose additional texts, their course must include works from The Anglo-Saxon, Medieval, Renaissance, Restoration and the 18</w:t>
      </w:r>
      <w:r w:rsidRPr="00551E0D">
        <w:rPr>
          <w:rFonts w:ascii="Lucida Grande" w:hAnsi="Lucida Grande"/>
          <w:b/>
          <w:sz w:val="23"/>
          <w:szCs w:val="23"/>
          <w:vertAlign w:val="superscript"/>
        </w:rPr>
        <w:t>th</w:t>
      </w:r>
      <w:r w:rsidRPr="00551E0D">
        <w:rPr>
          <w:rFonts w:ascii="Lucida Grande" w:hAnsi="Lucida Grande"/>
          <w:b/>
          <w:sz w:val="23"/>
          <w:szCs w:val="23"/>
        </w:rPr>
        <w:t xml:space="preserve"> Century, Romantic, Victorian, and Modern, and Post-Modern periods.</w:t>
      </w:r>
    </w:p>
    <w:tbl>
      <w:tblPr>
        <w:tblStyle w:val="TableGrid"/>
        <w:tblW w:w="14868" w:type="dxa"/>
        <w:tblLook w:val="04A0"/>
      </w:tblPr>
      <w:tblGrid>
        <w:gridCol w:w="1728"/>
        <w:gridCol w:w="3600"/>
        <w:gridCol w:w="2520"/>
        <w:gridCol w:w="2700"/>
        <w:gridCol w:w="4320"/>
      </w:tblGrid>
      <w:tr w:rsidR="009B5C47" w:rsidTr="008166D4">
        <w:tc>
          <w:tcPr>
            <w:tcW w:w="1728" w:type="dxa"/>
            <w:shd w:val="clear" w:color="auto" w:fill="BFBFBF" w:themeFill="background1" w:themeFillShade="BF"/>
          </w:tcPr>
          <w:p w:rsidR="009B5C47" w:rsidRDefault="009B5C47">
            <w:r>
              <w:t>Text Type</w:t>
            </w:r>
          </w:p>
        </w:tc>
        <w:tc>
          <w:tcPr>
            <w:tcW w:w="8820" w:type="dxa"/>
            <w:gridSpan w:val="3"/>
            <w:shd w:val="clear" w:color="auto" w:fill="BFBFBF" w:themeFill="background1" w:themeFillShade="BF"/>
          </w:tcPr>
          <w:p w:rsidR="009B5C47" w:rsidRDefault="009B5C47">
            <w:r>
              <w:t>Literature</w:t>
            </w:r>
          </w:p>
        </w:tc>
        <w:tc>
          <w:tcPr>
            <w:tcW w:w="4320" w:type="dxa"/>
            <w:shd w:val="clear" w:color="auto" w:fill="BFBFBF" w:themeFill="background1" w:themeFillShade="BF"/>
          </w:tcPr>
          <w:p w:rsidR="009B5C47" w:rsidRDefault="009B5C47">
            <w:r>
              <w:t>Informational Text</w:t>
            </w:r>
          </w:p>
        </w:tc>
      </w:tr>
      <w:tr w:rsidR="00293E7F" w:rsidTr="008166D4">
        <w:tc>
          <w:tcPr>
            <w:tcW w:w="1728" w:type="dxa"/>
          </w:tcPr>
          <w:p w:rsidR="00293E7F" w:rsidRDefault="00293E7F">
            <w:r>
              <w:t>Common Core</w:t>
            </w:r>
          </w:p>
        </w:tc>
        <w:tc>
          <w:tcPr>
            <w:tcW w:w="3600" w:type="dxa"/>
          </w:tcPr>
          <w:p w:rsidR="00293E7F" w:rsidRDefault="00293E7F">
            <w:r>
              <w:t>Stories</w:t>
            </w:r>
          </w:p>
        </w:tc>
        <w:tc>
          <w:tcPr>
            <w:tcW w:w="2520" w:type="dxa"/>
          </w:tcPr>
          <w:p w:rsidR="00293E7F" w:rsidRDefault="00293E7F">
            <w:r>
              <w:t>Drama</w:t>
            </w:r>
          </w:p>
        </w:tc>
        <w:tc>
          <w:tcPr>
            <w:tcW w:w="2700" w:type="dxa"/>
          </w:tcPr>
          <w:p w:rsidR="00293E7F" w:rsidRDefault="00293E7F">
            <w:r>
              <w:t>Poetry</w:t>
            </w:r>
          </w:p>
        </w:tc>
        <w:tc>
          <w:tcPr>
            <w:tcW w:w="4320" w:type="dxa"/>
          </w:tcPr>
          <w:p w:rsidR="00293E7F" w:rsidRDefault="00293E7F">
            <w:r>
              <w:t>Literary Nonfiction</w:t>
            </w:r>
          </w:p>
        </w:tc>
      </w:tr>
      <w:tr w:rsidR="00293E7F" w:rsidTr="008166D4">
        <w:trPr>
          <w:cantSplit/>
          <w:trHeight w:val="1134"/>
        </w:trPr>
        <w:tc>
          <w:tcPr>
            <w:tcW w:w="1728" w:type="dxa"/>
            <w:textDirection w:val="btLr"/>
          </w:tcPr>
          <w:p w:rsidR="00293E7F" w:rsidRPr="00621A75" w:rsidRDefault="007B1FDB" w:rsidP="007B1FDB">
            <w:pPr>
              <w:ind w:left="113" w:right="113"/>
              <w:jc w:val="center"/>
              <w:rPr>
                <w:sz w:val="36"/>
                <w:szCs w:val="36"/>
              </w:rPr>
            </w:pPr>
            <w:r w:rsidRPr="00621A75">
              <w:rPr>
                <w:sz w:val="36"/>
                <w:szCs w:val="36"/>
              </w:rPr>
              <w:t xml:space="preserve">Descriptor </w:t>
            </w:r>
            <w:r w:rsidRPr="00621A75">
              <w:rPr>
                <w:sz w:val="20"/>
                <w:szCs w:val="20"/>
              </w:rPr>
              <w:t>(pg 57 CCSS)</w:t>
            </w:r>
          </w:p>
        </w:tc>
        <w:tc>
          <w:tcPr>
            <w:tcW w:w="3600" w:type="dxa"/>
          </w:tcPr>
          <w:p w:rsidR="00293E7F" w:rsidRDefault="00293E7F">
            <w:r>
              <w:t>“Includes the subgenres of adventure stories, historical fiction, mysteries, myths, science fiction, realistic fiction, allegories, parodies, satire, and graphic novels”</w:t>
            </w:r>
          </w:p>
        </w:tc>
        <w:tc>
          <w:tcPr>
            <w:tcW w:w="2520" w:type="dxa"/>
          </w:tcPr>
          <w:p w:rsidR="00293E7F" w:rsidRDefault="00293E7F">
            <w:r>
              <w:t>“Includes one-act and multi-act plays, both in written form and on film”</w:t>
            </w:r>
          </w:p>
        </w:tc>
        <w:tc>
          <w:tcPr>
            <w:tcW w:w="2700" w:type="dxa"/>
          </w:tcPr>
          <w:p w:rsidR="00293E7F" w:rsidRDefault="00293E7F">
            <w:r>
              <w:t>“Includes the subgenres of narrative poems, lyrical poems, free verse poems, sonnets, odes, ballads, and epics”</w:t>
            </w:r>
          </w:p>
        </w:tc>
        <w:tc>
          <w:tcPr>
            <w:tcW w:w="4320" w:type="dxa"/>
          </w:tcPr>
          <w:p w:rsidR="00293E7F" w:rsidRDefault="00293E7F">
            <w:r>
              <w:t>“Includes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w:t>
            </w:r>
          </w:p>
        </w:tc>
      </w:tr>
      <w:tr w:rsidR="009B5C47" w:rsidTr="008166D4">
        <w:trPr>
          <w:cantSplit/>
          <w:trHeight w:val="1134"/>
        </w:trPr>
        <w:tc>
          <w:tcPr>
            <w:tcW w:w="1728" w:type="dxa"/>
            <w:textDirection w:val="btLr"/>
          </w:tcPr>
          <w:p w:rsidR="009B5C47" w:rsidRPr="00621A75" w:rsidRDefault="00621A75" w:rsidP="007B1FDB">
            <w:pPr>
              <w:ind w:left="113" w:right="113"/>
              <w:jc w:val="center"/>
              <w:rPr>
                <w:sz w:val="40"/>
                <w:szCs w:val="40"/>
              </w:rPr>
            </w:pPr>
            <w:r>
              <w:rPr>
                <w:sz w:val="40"/>
                <w:szCs w:val="40"/>
              </w:rPr>
              <w:t>Core T</w:t>
            </w:r>
            <w:r w:rsidR="001B4B1A">
              <w:rPr>
                <w:sz w:val="40"/>
                <w:szCs w:val="40"/>
              </w:rPr>
              <w:t>i</w:t>
            </w:r>
            <w:r w:rsidR="00293E7F" w:rsidRPr="00621A75">
              <w:rPr>
                <w:sz w:val="40"/>
                <w:szCs w:val="40"/>
              </w:rPr>
              <w:t>tles</w:t>
            </w:r>
          </w:p>
          <w:p w:rsidR="00293E7F" w:rsidRDefault="00293E7F" w:rsidP="007B1FDB">
            <w:pPr>
              <w:ind w:left="113" w:right="113"/>
              <w:jc w:val="center"/>
            </w:pPr>
          </w:p>
        </w:tc>
        <w:tc>
          <w:tcPr>
            <w:tcW w:w="3600" w:type="dxa"/>
          </w:tcPr>
          <w:p w:rsidR="00551E0D" w:rsidRPr="00551E0D" w:rsidRDefault="00551E0D">
            <w:r w:rsidRPr="00551E0D">
              <w:t>Arthurian Legends</w:t>
            </w:r>
          </w:p>
          <w:p w:rsidR="00551E0D" w:rsidRDefault="00551E0D">
            <w:pPr>
              <w:rPr>
                <w:i/>
              </w:rPr>
            </w:pPr>
          </w:p>
          <w:p w:rsidR="00621A75" w:rsidRPr="00551E0D" w:rsidRDefault="00C46CAA">
            <w:r w:rsidRPr="00C46CAA">
              <w:rPr>
                <w:i/>
              </w:rPr>
              <w:t>1984</w:t>
            </w:r>
            <w:r w:rsidR="00551E0D">
              <w:rPr>
                <w:i/>
              </w:rPr>
              <w:t xml:space="preserve"> </w:t>
            </w:r>
            <w:r w:rsidR="00551E0D">
              <w:t>(1090)</w:t>
            </w:r>
          </w:p>
          <w:p w:rsidR="00621A75" w:rsidRDefault="00C46CAA">
            <w:r>
              <w:t xml:space="preserve">     </w:t>
            </w:r>
            <w:r w:rsidR="0053663E">
              <w:t xml:space="preserve">George </w:t>
            </w:r>
            <w:r>
              <w:t>Orwell</w:t>
            </w:r>
          </w:p>
          <w:p w:rsidR="00621A75" w:rsidRPr="0053663E" w:rsidRDefault="00C46CAA">
            <w:pPr>
              <w:rPr>
                <w:b/>
                <w:u w:val="single"/>
              </w:rPr>
            </w:pPr>
            <w:r w:rsidRPr="0053663E">
              <w:rPr>
                <w:b/>
                <w:u w:val="single"/>
              </w:rPr>
              <w:t xml:space="preserve">Or </w:t>
            </w:r>
          </w:p>
          <w:p w:rsidR="00C46CAA" w:rsidRPr="00551E0D" w:rsidRDefault="00C46CAA">
            <w:r w:rsidRPr="00C46CAA">
              <w:rPr>
                <w:i/>
              </w:rPr>
              <w:t>Brave New World</w:t>
            </w:r>
            <w:r w:rsidR="00551E0D">
              <w:rPr>
                <w:i/>
              </w:rPr>
              <w:t xml:space="preserve"> </w:t>
            </w:r>
            <w:r w:rsidR="00551E0D">
              <w:t>(870)</w:t>
            </w:r>
          </w:p>
          <w:p w:rsidR="0053663E" w:rsidRPr="0053663E" w:rsidRDefault="0053663E">
            <w:r>
              <w:t xml:space="preserve">     </w:t>
            </w:r>
            <w:proofErr w:type="spellStart"/>
            <w:r>
              <w:t>Aldous</w:t>
            </w:r>
            <w:proofErr w:type="spellEnd"/>
            <w:r>
              <w:t xml:space="preserve"> Huxley</w:t>
            </w:r>
          </w:p>
          <w:p w:rsidR="00C46CAA" w:rsidRDefault="00C46CAA">
            <w:pPr>
              <w:rPr>
                <w:i/>
              </w:rPr>
            </w:pPr>
          </w:p>
          <w:p w:rsidR="00C46CAA" w:rsidRPr="003A73E5" w:rsidRDefault="003A73E5">
            <w:r w:rsidRPr="003A73E5">
              <w:t xml:space="preserve"> Dickens</w:t>
            </w:r>
            <w:r w:rsidR="00551E0D">
              <w:t xml:space="preserve"> </w:t>
            </w:r>
          </w:p>
          <w:p w:rsidR="00C46CAA" w:rsidRDefault="00C46CAA"/>
          <w:p w:rsidR="00CA14CB" w:rsidRPr="007B1FDB" w:rsidRDefault="003A73E5" w:rsidP="002B7A0D">
            <w:r>
              <w:t>One additional novel of choice</w:t>
            </w:r>
            <w:r w:rsidR="00551E0D">
              <w:t xml:space="preserve"> that represents the text complexity of 11-CC</w:t>
            </w:r>
            <w:r w:rsidR="00CA14CB">
              <w:t xml:space="preserve">R </w:t>
            </w:r>
          </w:p>
        </w:tc>
        <w:tc>
          <w:tcPr>
            <w:tcW w:w="2520" w:type="dxa"/>
          </w:tcPr>
          <w:p w:rsidR="003E0EFB" w:rsidRDefault="00C46CAA">
            <w:r w:rsidRPr="00C46CAA">
              <w:rPr>
                <w:i/>
              </w:rPr>
              <w:t>Macbeth</w:t>
            </w:r>
            <w:r>
              <w:t xml:space="preserve"> </w:t>
            </w:r>
            <w:r w:rsidRPr="003A73E5">
              <w:rPr>
                <w:b/>
              </w:rPr>
              <w:t>or</w:t>
            </w:r>
            <w:r>
              <w:t xml:space="preserve"> </w:t>
            </w:r>
            <w:r w:rsidRPr="00C46CAA">
              <w:rPr>
                <w:i/>
              </w:rPr>
              <w:t>Hamlet</w:t>
            </w:r>
          </w:p>
          <w:p w:rsidR="003E0EFB" w:rsidRDefault="003E0EFB">
            <w:r>
              <w:t xml:space="preserve">     William Shakespeare</w:t>
            </w:r>
          </w:p>
          <w:p w:rsidR="00C46CAA" w:rsidRDefault="00C46CAA"/>
          <w:p w:rsidR="00C46CAA" w:rsidRDefault="00C46CAA">
            <w:r>
              <w:t xml:space="preserve">Include a play </w:t>
            </w:r>
            <w:r w:rsidR="003A73E5">
              <w:t xml:space="preserve">(in part or whole) </w:t>
            </w:r>
            <w:r>
              <w:t xml:space="preserve">from </w:t>
            </w:r>
          </w:p>
          <w:p w:rsidR="00C46CAA" w:rsidRDefault="00C46CAA">
            <w:r>
              <w:t>Shaw or Wilde</w:t>
            </w:r>
          </w:p>
          <w:p w:rsidR="003E0EFB" w:rsidRDefault="003E0EFB"/>
          <w:p w:rsidR="007D597C" w:rsidRPr="007B1FDB" w:rsidRDefault="007D597C" w:rsidP="00C46CAA"/>
        </w:tc>
        <w:tc>
          <w:tcPr>
            <w:tcW w:w="2700" w:type="dxa"/>
          </w:tcPr>
          <w:p w:rsidR="007D597C" w:rsidRDefault="00C46CAA">
            <w:pPr>
              <w:rPr>
                <w:b/>
              </w:rPr>
            </w:pPr>
            <w:r>
              <w:rPr>
                <w:b/>
              </w:rPr>
              <w:t xml:space="preserve">Selections from </w:t>
            </w:r>
          </w:p>
          <w:p w:rsidR="00C46CAA" w:rsidRPr="0028620F" w:rsidRDefault="00C46CAA">
            <w:pPr>
              <w:rPr>
                <w:i/>
              </w:rPr>
            </w:pPr>
            <w:r w:rsidRPr="0028620F">
              <w:rPr>
                <w:i/>
              </w:rPr>
              <w:t>Beowulf</w:t>
            </w:r>
          </w:p>
          <w:p w:rsidR="00C46CAA" w:rsidRPr="0028620F" w:rsidRDefault="00C46CAA">
            <w:pPr>
              <w:rPr>
                <w:i/>
              </w:rPr>
            </w:pPr>
            <w:r w:rsidRPr="0028620F">
              <w:rPr>
                <w:i/>
              </w:rPr>
              <w:t>Canterbury Tales</w:t>
            </w:r>
          </w:p>
          <w:p w:rsidR="00D26F9A" w:rsidRDefault="00D26F9A">
            <w:pPr>
              <w:rPr>
                <w:b/>
              </w:rPr>
            </w:pPr>
          </w:p>
          <w:p w:rsidR="00D26F9A" w:rsidRDefault="00D26F9A">
            <w:pPr>
              <w:rPr>
                <w:b/>
              </w:rPr>
            </w:pPr>
            <w:r>
              <w:rPr>
                <w:b/>
              </w:rPr>
              <w:t xml:space="preserve">Selections from </w:t>
            </w:r>
            <w:r w:rsidR="003565FD">
              <w:rPr>
                <w:b/>
              </w:rPr>
              <w:t>the following periods:</w:t>
            </w:r>
          </w:p>
          <w:p w:rsidR="00793D93" w:rsidRPr="003565FD" w:rsidRDefault="00793D93">
            <w:r w:rsidRPr="003565FD">
              <w:t>Renaissance</w:t>
            </w:r>
          </w:p>
          <w:p w:rsidR="00793D93" w:rsidRPr="003565FD" w:rsidRDefault="00793D93">
            <w:r w:rsidRPr="003565FD">
              <w:t>Romantic</w:t>
            </w:r>
          </w:p>
          <w:p w:rsidR="00793D93" w:rsidRPr="003565FD" w:rsidRDefault="00793D93">
            <w:r w:rsidRPr="003565FD">
              <w:t>Victorian</w:t>
            </w:r>
          </w:p>
          <w:p w:rsidR="003565FD" w:rsidRPr="003565FD" w:rsidRDefault="003565FD">
            <w:r w:rsidRPr="003565FD">
              <w:t>Modern</w:t>
            </w:r>
          </w:p>
          <w:p w:rsidR="003E0EFB" w:rsidRDefault="003E0EFB" w:rsidP="00793D93"/>
        </w:tc>
        <w:tc>
          <w:tcPr>
            <w:tcW w:w="4320" w:type="dxa"/>
          </w:tcPr>
          <w:p w:rsidR="00551E0D" w:rsidRPr="005E7389" w:rsidRDefault="00551E0D" w:rsidP="00C46CAA">
            <w:pPr>
              <w:rPr>
                <w:b/>
              </w:rPr>
            </w:pPr>
            <w:r w:rsidRPr="005E7389">
              <w:rPr>
                <w:b/>
              </w:rPr>
              <w:t>Choose at least three</w:t>
            </w:r>
          </w:p>
          <w:p w:rsidR="00551E0D" w:rsidRPr="00551E0D" w:rsidRDefault="00551E0D" w:rsidP="00C46CAA"/>
          <w:p w:rsidR="00C46CAA" w:rsidRPr="008166D4" w:rsidRDefault="00C46CAA" w:rsidP="00C46CAA">
            <w:pPr>
              <w:rPr>
                <w:i/>
              </w:rPr>
            </w:pPr>
            <w:r w:rsidRPr="0053663E">
              <w:rPr>
                <w:i/>
              </w:rPr>
              <w:t>A Vindication from the Rights of Women</w:t>
            </w:r>
          </w:p>
          <w:p w:rsidR="003A73E5" w:rsidRDefault="003565FD" w:rsidP="00C46CAA">
            <w:pPr>
              <w:rPr>
                <w:i/>
              </w:rPr>
            </w:pPr>
            <w:r>
              <w:rPr>
                <w:i/>
              </w:rPr>
              <w:t xml:space="preserve">The Journal </w:t>
            </w:r>
            <w:r w:rsidR="00C46CAA" w:rsidRPr="0053663E">
              <w:rPr>
                <w:i/>
              </w:rPr>
              <w:t>of Dorothy Wordsworth</w:t>
            </w:r>
          </w:p>
          <w:p w:rsidR="00C46CAA" w:rsidRPr="008166D4" w:rsidRDefault="003A73E5" w:rsidP="00C46CAA">
            <w:pPr>
              <w:rPr>
                <w:i/>
              </w:rPr>
            </w:pPr>
            <w:r>
              <w:rPr>
                <w:i/>
              </w:rPr>
              <w:t>Shakespeare’s Sister</w:t>
            </w:r>
          </w:p>
          <w:p w:rsidR="00C46CAA" w:rsidRDefault="0053663E" w:rsidP="00C46CAA">
            <w:r>
              <w:t>“</w:t>
            </w:r>
            <w:r w:rsidR="00C46CAA">
              <w:t>Be Ye Men of Valor</w:t>
            </w:r>
            <w:r>
              <w:t>”</w:t>
            </w:r>
          </w:p>
          <w:p w:rsidR="00C46CAA" w:rsidRDefault="0053663E" w:rsidP="00C46CAA">
            <w:r>
              <w:t>“</w:t>
            </w:r>
            <w:r w:rsidR="00C46CAA">
              <w:t>Shooting an Elephant</w:t>
            </w:r>
            <w:r>
              <w:t>”</w:t>
            </w:r>
          </w:p>
          <w:p w:rsidR="00C46CAA" w:rsidRDefault="0053663E" w:rsidP="00C46CAA">
            <w:r>
              <w:t>“</w:t>
            </w:r>
            <w:r w:rsidR="00C46CAA">
              <w:t>Meditation 17</w:t>
            </w:r>
            <w:r>
              <w:t>”</w:t>
            </w:r>
          </w:p>
          <w:p w:rsidR="002B7A0D" w:rsidRDefault="002B7A0D" w:rsidP="00C46CAA"/>
          <w:p w:rsidR="002B7A0D" w:rsidRPr="002B7A0D" w:rsidRDefault="002B7A0D" w:rsidP="00C46CAA">
            <w:pPr>
              <w:rPr>
                <w:sz w:val="20"/>
                <w:szCs w:val="20"/>
              </w:rPr>
            </w:pPr>
            <w:r>
              <w:rPr>
                <w:sz w:val="20"/>
                <w:szCs w:val="20"/>
              </w:rPr>
              <w:t>Work with your social studies department to determine seminal U.S. documents that would support the standards in both English and social studies courses.</w:t>
            </w:r>
          </w:p>
        </w:tc>
      </w:tr>
    </w:tbl>
    <w:p w:rsidR="00536C25" w:rsidRDefault="00536C25">
      <w:pPr>
        <w:rPr>
          <w:b/>
        </w:rPr>
      </w:pPr>
    </w:p>
    <w:p w:rsidR="00293E7F" w:rsidRDefault="00293E7F">
      <w:r w:rsidRPr="00C87264">
        <w:rPr>
          <w:b/>
        </w:rPr>
        <w:t>Consideration of alternative texts:</w:t>
      </w:r>
      <w:r>
        <w:t xml:space="preserve"> Students who are unable to access the curriculum through grade level appropriate texts may be considered for an alternate text.  For a text to be exchanged, the teacher must first use multiple data points to determine the student is unable to access grade level appropriate texts.   By acknowledging the student is not reading on grade level, the teacher must participate in the </w:t>
      </w:r>
      <w:r w:rsidR="00C87264">
        <w:t>creation</w:t>
      </w:r>
      <w:r>
        <w:t xml:space="preserve"> or updating of the personal education plan (PEP) for this </w:t>
      </w:r>
      <w:r w:rsidR="00C87264">
        <w:t>student.  The PEP will include</w:t>
      </w:r>
      <w:r>
        <w:t xml:space="preserve"> targeted intervention</w:t>
      </w:r>
      <w:r w:rsidR="00C87264">
        <w:t>s</w:t>
      </w:r>
      <w:r>
        <w:t xml:space="preserve"> </w:t>
      </w:r>
      <w:r w:rsidR="00C87264">
        <w:t xml:space="preserve">designed </w:t>
      </w:r>
      <w:r>
        <w:t xml:space="preserve">to develop the reading skills necessary </w:t>
      </w:r>
      <w:r w:rsidR="00C87264">
        <w:t xml:space="preserve">for this student </w:t>
      </w:r>
      <w:r>
        <w:t>to access grade level appropriate text.</w:t>
      </w:r>
    </w:p>
    <w:sectPr w:rsidR="00293E7F" w:rsidSect="00C87264">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AB" w:rsidRDefault="007B22AB" w:rsidP="00293E7F">
      <w:pPr>
        <w:spacing w:after="0" w:line="240" w:lineRule="auto"/>
      </w:pPr>
      <w:r>
        <w:separator/>
      </w:r>
    </w:p>
  </w:endnote>
  <w:endnote w:type="continuationSeparator" w:id="0">
    <w:p w:rsidR="007B22AB" w:rsidRDefault="007B22AB" w:rsidP="00293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AB" w:rsidRDefault="007B22AB" w:rsidP="00293E7F">
      <w:pPr>
        <w:spacing w:after="0" w:line="240" w:lineRule="auto"/>
      </w:pPr>
      <w:r>
        <w:separator/>
      </w:r>
    </w:p>
  </w:footnote>
  <w:footnote w:type="continuationSeparator" w:id="0">
    <w:p w:rsidR="007B22AB" w:rsidRDefault="007B22AB" w:rsidP="00293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2807"/>
      <w:gridCol w:w="1823"/>
    </w:tblGrid>
    <w:tr w:rsidR="00293E7F">
      <w:trPr>
        <w:trHeight w:val="288"/>
      </w:trPr>
      <w:sdt>
        <w:sdtPr>
          <w:rPr>
            <w:rFonts w:asciiTheme="majorHAnsi" w:eastAsiaTheme="majorEastAsia" w:hAnsiTheme="majorHAnsi" w:cstheme="majorBidi"/>
            <w:sz w:val="36"/>
            <w:szCs w:val="36"/>
          </w:rPr>
          <w:alias w:val="Title"/>
          <w:id w:val="77761602"/>
          <w:placeholder>
            <w:docPart w:val="7DBC5E42C92D49A09215914FA30D57E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93E7F" w:rsidRDefault="00C87264" w:rsidP="00293E7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Wake County Core Reading List for </w:t>
              </w:r>
              <w:r w:rsidR="00293E7F">
                <w:rPr>
                  <w:rFonts w:asciiTheme="majorHAnsi" w:eastAsiaTheme="majorEastAsia" w:hAnsiTheme="majorHAnsi" w:cstheme="majorBidi"/>
                  <w:sz w:val="36"/>
                  <w:szCs w:val="36"/>
                </w:rPr>
                <w:t>English I</w:t>
              </w:r>
              <w:r w:rsidR="006330E4">
                <w:rPr>
                  <w:rFonts w:asciiTheme="majorHAnsi" w:eastAsiaTheme="majorEastAsia" w:hAnsiTheme="majorHAnsi" w:cstheme="majorBidi"/>
                  <w:sz w:val="36"/>
                  <w:szCs w:val="36"/>
                </w:rPr>
                <w:t>V</w:t>
              </w:r>
              <w:r w:rsidR="00293E7F">
                <w:rPr>
                  <w:rFonts w:asciiTheme="majorHAnsi" w:eastAsiaTheme="majorEastAsia" w:hAnsiTheme="majorHAnsi" w:cstheme="majorBidi"/>
                  <w:sz w:val="36"/>
                  <w:szCs w:val="36"/>
                </w:rPr>
                <w:t xml:space="preserve"> </w:t>
              </w:r>
            </w:p>
          </w:tc>
        </w:sdtContent>
      </w:sdt>
      <w:sdt>
        <w:sdtPr>
          <w:rPr>
            <w:rFonts w:asciiTheme="majorHAnsi" w:eastAsiaTheme="majorEastAsia" w:hAnsiTheme="majorHAnsi" w:cstheme="majorBidi"/>
            <w:b/>
            <w:bCs/>
            <w:color w:val="4F81BD" w:themeColor="accent1"/>
            <w:sz w:val="36"/>
            <w:szCs w:val="36"/>
          </w:rPr>
          <w:alias w:val="Year"/>
          <w:id w:val="77761609"/>
          <w:placeholder>
            <w:docPart w:val="7AA606F891D745CD922B3E931E22891E"/>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293E7F" w:rsidRDefault="00293E7F" w:rsidP="00293E7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293E7F" w:rsidRDefault="00293E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5C47"/>
    <w:rsid w:val="00025996"/>
    <w:rsid w:val="000F2569"/>
    <w:rsid w:val="00116613"/>
    <w:rsid w:val="001965CE"/>
    <w:rsid w:val="001B4B1A"/>
    <w:rsid w:val="0028620F"/>
    <w:rsid w:val="00293E7F"/>
    <w:rsid w:val="002A23E2"/>
    <w:rsid w:val="002B7A0D"/>
    <w:rsid w:val="003565FD"/>
    <w:rsid w:val="0036765D"/>
    <w:rsid w:val="003A73E5"/>
    <w:rsid w:val="003E0EFB"/>
    <w:rsid w:val="0043133B"/>
    <w:rsid w:val="00445C03"/>
    <w:rsid w:val="005301AA"/>
    <w:rsid w:val="0053663E"/>
    <w:rsid w:val="00536C25"/>
    <w:rsid w:val="0054453C"/>
    <w:rsid w:val="00551E0D"/>
    <w:rsid w:val="005A45B2"/>
    <w:rsid w:val="005D56B7"/>
    <w:rsid w:val="005E7389"/>
    <w:rsid w:val="00621A75"/>
    <w:rsid w:val="006330E4"/>
    <w:rsid w:val="006A5327"/>
    <w:rsid w:val="006C393E"/>
    <w:rsid w:val="00706D3C"/>
    <w:rsid w:val="00793D93"/>
    <w:rsid w:val="007B1FDB"/>
    <w:rsid w:val="007B22AB"/>
    <w:rsid w:val="007C46BF"/>
    <w:rsid w:val="007D597C"/>
    <w:rsid w:val="00806FC9"/>
    <w:rsid w:val="008166D4"/>
    <w:rsid w:val="00836B53"/>
    <w:rsid w:val="008505EA"/>
    <w:rsid w:val="00917E19"/>
    <w:rsid w:val="009A124F"/>
    <w:rsid w:val="009B5C47"/>
    <w:rsid w:val="00A00743"/>
    <w:rsid w:val="00A21CCA"/>
    <w:rsid w:val="00AE5E40"/>
    <w:rsid w:val="00B510F8"/>
    <w:rsid w:val="00BE77F0"/>
    <w:rsid w:val="00C41829"/>
    <w:rsid w:val="00C46CAA"/>
    <w:rsid w:val="00C87264"/>
    <w:rsid w:val="00CA14CB"/>
    <w:rsid w:val="00D26F9A"/>
    <w:rsid w:val="00D755AF"/>
    <w:rsid w:val="00DA55C8"/>
    <w:rsid w:val="00DA6EF6"/>
    <w:rsid w:val="00E26FB7"/>
    <w:rsid w:val="00E5550D"/>
    <w:rsid w:val="00E71DE0"/>
    <w:rsid w:val="00E96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7F"/>
  </w:style>
  <w:style w:type="paragraph" w:styleId="Footer">
    <w:name w:val="footer"/>
    <w:basedOn w:val="Normal"/>
    <w:link w:val="FooterChar"/>
    <w:uiPriority w:val="99"/>
    <w:semiHidden/>
    <w:unhideWhenUsed/>
    <w:rsid w:val="00293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E7F"/>
  </w:style>
  <w:style w:type="paragraph" w:styleId="BalloonText">
    <w:name w:val="Balloon Text"/>
    <w:basedOn w:val="Normal"/>
    <w:link w:val="BalloonTextChar"/>
    <w:uiPriority w:val="99"/>
    <w:semiHidden/>
    <w:unhideWhenUsed/>
    <w:rsid w:val="00293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7F"/>
    <w:rPr>
      <w:rFonts w:ascii="Tahoma" w:hAnsi="Tahoma" w:cs="Tahoma"/>
      <w:sz w:val="16"/>
      <w:szCs w:val="16"/>
    </w:rPr>
  </w:style>
  <w:style w:type="paragraph" w:styleId="NormalWeb">
    <w:name w:val="Normal (Web)"/>
    <w:basedOn w:val="Normal"/>
    <w:uiPriority w:val="99"/>
    <w:unhideWhenUsed/>
    <w:rsid w:val="006C393E"/>
    <w:pPr>
      <w:spacing w:before="100" w:beforeAutospacing="1" w:after="360" w:line="36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047093">
      <w:bodyDiv w:val="1"/>
      <w:marLeft w:val="0"/>
      <w:marRight w:val="0"/>
      <w:marTop w:val="360"/>
      <w:marBottom w:val="360"/>
      <w:divBdr>
        <w:top w:val="none" w:sz="0" w:space="0" w:color="auto"/>
        <w:left w:val="none" w:sz="0" w:space="0" w:color="auto"/>
        <w:bottom w:val="none" w:sz="0" w:space="0" w:color="auto"/>
        <w:right w:val="none" w:sz="0" w:space="0" w:color="auto"/>
      </w:divBdr>
      <w:divsChild>
        <w:div w:id="1042705926">
          <w:marLeft w:val="0"/>
          <w:marRight w:val="0"/>
          <w:marTop w:val="0"/>
          <w:marBottom w:val="0"/>
          <w:divBdr>
            <w:top w:val="none" w:sz="0" w:space="0" w:color="auto"/>
            <w:left w:val="none" w:sz="0" w:space="0" w:color="auto"/>
            <w:bottom w:val="none" w:sz="0" w:space="0" w:color="auto"/>
            <w:right w:val="none" w:sz="0" w:space="0" w:color="auto"/>
          </w:divBdr>
        </w:div>
      </w:divsChild>
    </w:div>
    <w:div w:id="1994140955">
      <w:bodyDiv w:val="1"/>
      <w:marLeft w:val="0"/>
      <w:marRight w:val="0"/>
      <w:marTop w:val="360"/>
      <w:marBottom w:val="360"/>
      <w:divBdr>
        <w:top w:val="none" w:sz="0" w:space="0" w:color="auto"/>
        <w:left w:val="none" w:sz="0" w:space="0" w:color="auto"/>
        <w:bottom w:val="none" w:sz="0" w:space="0" w:color="auto"/>
        <w:right w:val="none" w:sz="0" w:space="0" w:color="auto"/>
      </w:divBdr>
      <w:divsChild>
        <w:div w:id="70969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BC5E42C92D49A09215914FA30D57E6"/>
        <w:category>
          <w:name w:val="General"/>
          <w:gallery w:val="placeholder"/>
        </w:category>
        <w:types>
          <w:type w:val="bbPlcHdr"/>
        </w:types>
        <w:behaviors>
          <w:behavior w:val="content"/>
        </w:behaviors>
        <w:guid w:val="{214CED91-9A21-4898-B8BC-ECB5E80FC6FE}"/>
      </w:docPartPr>
      <w:docPartBody>
        <w:p w:rsidR="005C130D" w:rsidRDefault="004C3B77" w:rsidP="004C3B77">
          <w:pPr>
            <w:pStyle w:val="7DBC5E42C92D49A09215914FA30D57E6"/>
          </w:pPr>
          <w:r>
            <w:rPr>
              <w:rFonts w:asciiTheme="majorHAnsi" w:eastAsiaTheme="majorEastAsia" w:hAnsiTheme="majorHAnsi" w:cstheme="majorBidi"/>
              <w:sz w:val="36"/>
              <w:szCs w:val="36"/>
            </w:rPr>
            <w:t>[Type the document title]</w:t>
          </w:r>
        </w:p>
      </w:docPartBody>
    </w:docPart>
    <w:docPart>
      <w:docPartPr>
        <w:name w:val="7AA606F891D745CD922B3E931E22891E"/>
        <w:category>
          <w:name w:val="General"/>
          <w:gallery w:val="placeholder"/>
        </w:category>
        <w:types>
          <w:type w:val="bbPlcHdr"/>
        </w:types>
        <w:behaviors>
          <w:behavior w:val="content"/>
        </w:behaviors>
        <w:guid w:val="{E2E5C065-212A-4989-A02D-74B554DC945E}"/>
      </w:docPartPr>
      <w:docPartBody>
        <w:p w:rsidR="005C130D" w:rsidRDefault="004C3B77" w:rsidP="004C3B77">
          <w:pPr>
            <w:pStyle w:val="7AA606F891D745CD922B3E931E22891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3B77"/>
    <w:rsid w:val="00106728"/>
    <w:rsid w:val="001B7CA2"/>
    <w:rsid w:val="0025648E"/>
    <w:rsid w:val="002B119A"/>
    <w:rsid w:val="00442E14"/>
    <w:rsid w:val="004C3B77"/>
    <w:rsid w:val="00536305"/>
    <w:rsid w:val="005C130D"/>
    <w:rsid w:val="00614759"/>
    <w:rsid w:val="00631E36"/>
    <w:rsid w:val="007F354C"/>
    <w:rsid w:val="008F492B"/>
    <w:rsid w:val="00E80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BC5E42C92D49A09215914FA30D57E6">
    <w:name w:val="7DBC5E42C92D49A09215914FA30D57E6"/>
    <w:rsid w:val="004C3B77"/>
  </w:style>
  <w:style w:type="paragraph" w:customStyle="1" w:styleId="7AA606F891D745CD922B3E931E22891E">
    <w:name w:val="7AA606F891D745CD922B3E931E22891E"/>
    <w:rsid w:val="004C3B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Wake County Core Reading List for English IV </vt:lpstr>
    </vt:vector>
  </TitlesOfParts>
  <Company>Wake County Schools</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County Core Reading List for English IV </dc:title>
  <dc:subject/>
  <dc:creator>catherine_trudell</dc:creator>
  <cp:keywords/>
  <dc:description/>
  <cp:lastModifiedBy>phornick</cp:lastModifiedBy>
  <cp:revision>2</cp:revision>
  <cp:lastPrinted>2014-02-07T13:02:00Z</cp:lastPrinted>
  <dcterms:created xsi:type="dcterms:W3CDTF">2014-02-07T13:03:00Z</dcterms:created>
  <dcterms:modified xsi:type="dcterms:W3CDTF">2014-02-07T13:03:00Z</dcterms:modified>
</cp:coreProperties>
</file>